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FbHachaluzim-Boldwebfont" w:eastAsia="Times New Roman" w:hAnsi="FbHachaluzim-Boldwebfont" w:cs="Helvetica"/>
          <w:color w:val="4F4C58"/>
          <w:sz w:val="48"/>
          <w:szCs w:val="48"/>
          <w:rtl/>
        </w:rPr>
        <w:t>תוכנית מלגות לסטודנטים יוצאת לדרך</w:t>
      </w:r>
      <w:r w:rsidRPr="005304ED">
        <w:rPr>
          <w:rFonts w:ascii="FbHachaluzim-Boldwebfont" w:eastAsia="Times New Roman" w:hAnsi="FbHachaluzim-Boldwebfont" w:cs="Helvetica"/>
          <w:color w:val="4F4C58"/>
          <w:sz w:val="48"/>
          <w:szCs w:val="48"/>
        </w:rPr>
        <w:t>!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 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בשנת לימודים תשפ"א (2020-2021) תעניק המועצה המקומית </w:t>
      </w:r>
      <w:proofErr w:type="spellStart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זכרון</w:t>
      </w:r>
      <w:proofErr w:type="spellEnd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 יעקב 20 מלגות על סך 10,000 ₪ לכל סטודנט תושב </w:t>
      </w:r>
      <w:proofErr w:type="spellStart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זכרון</w:t>
      </w:r>
      <w:proofErr w:type="spellEnd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 יעקב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מטרת התוכנית: לסייע לסטודנטים, תושבי המושבה, להשלים את לימודיהם ולעודד לימודים אקדמאים מחד ולקדם את מעורבותם והשפעתם בקהילה מאידך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תנאיי המלגה: הזכאות למלגה כפוף לביצוע של 140 שעות התנדבות ותרומה לקהילה במשך שנת הלימודים תשפ"א (אוקטובר 2020 עד יולי 2021)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את 140 השעות יש להשלים עד לתאריך 30.7.21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קריטריונים לקבלת מלגה לשנת תש"פ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: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 </w:t>
      </w:r>
    </w:p>
    <w:p w:rsidR="005304ED" w:rsidRPr="005304ED" w:rsidRDefault="005304ED" w:rsidP="005304ED">
      <w:pPr>
        <w:numPr>
          <w:ilvl w:val="0"/>
          <w:numId w:val="1"/>
        </w:numPr>
        <w:shd w:val="clear" w:color="auto" w:fill="EEF1EB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  <w:rtl/>
        </w:rPr>
        <w:t xml:space="preserve">אזרח ישראל (תינתן עדיפות לתושבי </w:t>
      </w:r>
      <w:proofErr w:type="spellStart"/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  <w:rtl/>
        </w:rPr>
        <w:t>זכרון</w:t>
      </w:r>
      <w:proofErr w:type="spellEnd"/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  <w:rtl/>
        </w:rPr>
        <w:t xml:space="preserve"> יעקב)</w:t>
      </w:r>
    </w:p>
    <w:p w:rsidR="005304ED" w:rsidRPr="005304ED" w:rsidRDefault="005304ED" w:rsidP="005304ED">
      <w:pPr>
        <w:numPr>
          <w:ilvl w:val="0"/>
          <w:numId w:val="1"/>
        </w:numPr>
        <w:shd w:val="clear" w:color="auto" w:fill="EEF1EB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  <w:rtl/>
        </w:rPr>
        <w:t xml:space="preserve">לאחר שירות צבאי/שירות לאומי/התנדבות </w:t>
      </w:r>
      <w:proofErr w:type="spellStart"/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  <w:rtl/>
        </w:rPr>
        <w:t>בזכרון</w:t>
      </w:r>
      <w:proofErr w:type="spellEnd"/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  <w:rtl/>
        </w:rPr>
        <w:t xml:space="preserve"> יעקב</w:t>
      </w:r>
    </w:p>
    <w:p w:rsidR="005304ED" w:rsidRPr="005304ED" w:rsidRDefault="005304ED" w:rsidP="005304ED">
      <w:pPr>
        <w:numPr>
          <w:ilvl w:val="0"/>
          <w:numId w:val="1"/>
        </w:numPr>
        <w:shd w:val="clear" w:color="auto" w:fill="EEF1EB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  <w:rtl/>
        </w:rPr>
        <w:t>במהלך שנת הלימודים האקדמאית תשפ"א (2020-2021) הסטודנטים ילמדו באחת מהמסגרות הבאות</w:t>
      </w:r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</w:rPr>
        <w:t>:</w:t>
      </w:r>
    </w:p>
    <w:p w:rsidR="005304ED" w:rsidRPr="005304ED" w:rsidRDefault="005304ED" w:rsidP="005304ED">
      <w:pPr>
        <w:numPr>
          <w:ilvl w:val="0"/>
          <w:numId w:val="2"/>
        </w:numPr>
        <w:shd w:val="clear" w:color="auto" w:fill="EEF1EB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הסטודנטים ילמדו במוסד המוכר ע"י </w:t>
      </w:r>
      <w:proofErr w:type="spellStart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המל"ג</w:t>
      </w:r>
      <w:proofErr w:type="spellEnd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, לתואר אקדמי (ראשון או שני) המוכר ע"י </w:t>
      </w:r>
      <w:proofErr w:type="spellStart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המל"ג</w:t>
      </w:r>
      <w:proofErr w:type="spellEnd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 (רשימת המוסדות הקובעת לעניין זה הינה הרשימה המפורסמת באתר המועצה להשכלה גבוהה), לימודי תעודת הוראה המוכרת ע"י </w:t>
      </w:r>
      <w:proofErr w:type="spellStart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המל"ג</w:t>
      </w:r>
      <w:proofErr w:type="spellEnd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 או לימודי הנדסאי במוסד המוכר ע"י </w:t>
      </w:r>
      <w:proofErr w:type="spellStart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מה"ט</w:t>
      </w:r>
      <w:proofErr w:type="spellEnd"/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numPr>
          <w:ilvl w:val="0"/>
          <w:numId w:val="2"/>
        </w:numPr>
        <w:shd w:val="clear" w:color="auto" w:fill="EEF1EB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הסטודנטים ילמדו לקורסים המתוקצבים ומפוקחים ע"י האגף להכשרה מקצועית בזרוע העבודה – משרד העבודה, הרווחה והשירותים החברתיים, *למעט סטודנטים אשר קיבלו השתתפות בשכר הלימוד במסגרת "תכנית השוברים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".</w:t>
      </w:r>
    </w:p>
    <w:p w:rsidR="005304ED" w:rsidRPr="005304ED" w:rsidRDefault="005304ED" w:rsidP="005304ED">
      <w:pPr>
        <w:numPr>
          <w:ilvl w:val="0"/>
          <w:numId w:val="2"/>
        </w:numPr>
        <w:shd w:val="clear" w:color="auto" w:fill="EEF1EB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הסטודנטים ילמדו בבתי ספר על תיכוניים </w:t>
      </w:r>
      <w:proofErr w:type="spellStart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לאמנויות</w:t>
      </w:r>
      <w:proofErr w:type="spellEnd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 המוכרים ע"י משרד התרבות והספורט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numPr>
          <w:ilvl w:val="0"/>
          <w:numId w:val="2"/>
        </w:numPr>
        <w:shd w:val="clear" w:color="auto" w:fill="EEF1EB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הסטודנטים ילמדו בכיתות י"ג- י"ד בחינוך טכנולוגי על-יסודי בבתי ספר המאושרים על ידי משרד החינוך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numPr>
          <w:ilvl w:val="0"/>
          <w:numId w:val="2"/>
        </w:numPr>
        <w:shd w:val="clear" w:color="auto" w:fill="EEF1EB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הסטודנטים ילמדו בסמינרים להוראה המפוקחים ע"י משרד החינוך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</w:rPr>
        <w:lastRenderedPageBreak/>
        <w:t>    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4. </w:t>
      </w:r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  <w:rtl/>
        </w:rPr>
        <w:t>אישור וועדת מלגות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Symbol" w:cs="Helvetica"/>
          <w:color w:val="4F4C58"/>
          <w:sz w:val="33"/>
          <w:szCs w:val="33"/>
        </w:rPr>
        <w:t>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 xml:space="preserve">  </w:t>
      </w:r>
      <w:r>
        <w:rPr>
          <w:rFonts w:ascii="Helvetica" w:eastAsia="Times New Roman" w:hAnsi="Helvetica" w:cs="Helvetica" w:hint="cs"/>
          <w:color w:val="4F4C58"/>
          <w:sz w:val="33"/>
          <w:szCs w:val="33"/>
          <w:rtl/>
        </w:rPr>
        <w:t xml:space="preserve"> 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תהליך קבלת המלגה כולל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: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Symbol" w:cs="Helvetica"/>
          <w:color w:val="4F4C58"/>
          <w:sz w:val="33"/>
          <w:szCs w:val="33"/>
        </w:rPr>
        <w:t>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 xml:space="preserve">  </w:t>
      </w:r>
      <w:r>
        <w:rPr>
          <w:rFonts w:ascii="Helvetica" w:eastAsia="Times New Roman" w:hAnsi="Helvetica" w:cs="Helvetica" w:hint="cs"/>
          <w:color w:val="4F4C58"/>
          <w:sz w:val="33"/>
          <w:szCs w:val="33"/>
          <w:rtl/>
        </w:rPr>
        <w:t xml:space="preserve"> 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הגשת מועמדות (מילוי </w:t>
      </w:r>
      <w:proofErr w:type="spellStart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שאלון+העברת</w:t>
      </w:r>
      <w:proofErr w:type="spellEnd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 מסמכים נדרשים-קורות חיים, אישור לימודים לשנת תש"פ, אישור ניהול חשבון בנק, אישור תושבות, צילום ת.ז)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Symbol" w:cs="Helvetica"/>
          <w:color w:val="4F4C58"/>
          <w:sz w:val="33"/>
          <w:szCs w:val="33"/>
        </w:rPr>
        <w:t>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 xml:space="preserve">  </w:t>
      </w:r>
      <w:r>
        <w:rPr>
          <w:rFonts w:ascii="Helvetica" w:eastAsia="Times New Roman" w:hAnsi="Helvetica" w:cs="Helvetica" w:hint="cs"/>
          <w:color w:val="4F4C58"/>
          <w:sz w:val="33"/>
          <w:szCs w:val="33"/>
          <w:rtl/>
        </w:rPr>
        <w:t xml:space="preserve"> 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ראיון של וועדת </w:t>
      </w:r>
      <w:proofErr w:type="spellStart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מילגות</w:t>
      </w:r>
      <w:proofErr w:type="spellEnd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 יישובית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>
        <w:rPr>
          <w:rFonts w:ascii="Helvetica" w:eastAsia="Times New Roman" w:hAnsi="Symbol" w:cs="Helvetica"/>
          <w:color w:val="4F4C58"/>
          <w:sz w:val="33"/>
          <w:szCs w:val="33"/>
        </w:rPr>
        <w:t xml:space="preserve">  </w:t>
      </w:r>
      <w:proofErr w:type="gramStart"/>
      <w:r w:rsidRPr="005304ED">
        <w:rPr>
          <w:rFonts w:ascii="Helvetica" w:eastAsia="Times New Roman" w:hAnsi="Symbol" w:cs="Helvetica"/>
          <w:color w:val="4F4C58"/>
          <w:sz w:val="33"/>
          <w:szCs w:val="33"/>
        </w:rPr>
        <w:t>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 xml:space="preserve">  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הסטודנטים</w:t>
      </w:r>
      <w:proofErr w:type="gramEnd"/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 xml:space="preserve"> יחתמו על כתב התחייבות למלגה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br/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br/>
      </w:r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  <w:rtl/>
        </w:rPr>
        <w:t>הנחיות והרשמה</w:t>
      </w:r>
      <w:r w:rsidRPr="005304ED">
        <w:rPr>
          <w:rFonts w:ascii="FbHachaluzim-Boldwebfont" w:eastAsia="Times New Roman" w:hAnsi="FbHachaluzim-Boldwebfont" w:cs="Helvetica"/>
          <w:color w:val="4F4C58"/>
          <w:sz w:val="33"/>
          <w:szCs w:val="33"/>
        </w:rPr>
        <w:t>: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Symbol" w:cs="Helvetica"/>
          <w:color w:val="4F4C58"/>
          <w:sz w:val="33"/>
          <w:szCs w:val="33"/>
        </w:rPr>
        <w:t>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 xml:space="preserve">  </w:t>
      </w:r>
      <w:r>
        <w:rPr>
          <w:rFonts w:ascii="Helvetica" w:eastAsia="Times New Roman" w:hAnsi="Helvetica" w:cs="Helvetica" w:hint="cs"/>
          <w:color w:val="4F4C58"/>
          <w:sz w:val="33"/>
          <w:szCs w:val="33"/>
          <w:rtl/>
        </w:rPr>
        <w:t xml:space="preserve"> 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יש למלא את השאלון בלינק הנ"ל </w:t>
      </w:r>
      <w:hyperlink r:id="rId5" w:tgtFrame="_blank" w:history="1">
        <w:r w:rsidRPr="005304ED">
          <w:rPr>
            <w:rFonts w:ascii="Helvetica" w:eastAsia="Times New Roman" w:hAnsi="Helvetica" w:cs="Helvetica"/>
            <w:color w:val="54250E"/>
            <w:sz w:val="33"/>
            <w:szCs w:val="33"/>
            <w:u w:val="single"/>
            <w:rtl/>
          </w:rPr>
          <w:t>לחץ כאן</w:t>
        </w:r>
      </w:hyperlink>
      <w:r>
        <w:rPr>
          <w:rFonts w:ascii="Helvetica" w:eastAsia="Times New Roman" w:hAnsi="Helvetica" w:cs="Helvetica" w:hint="cs"/>
          <w:color w:val="4F4C58"/>
          <w:sz w:val="33"/>
          <w:szCs w:val="33"/>
          <w:rtl/>
        </w:rPr>
        <w:t xml:space="preserve"> </w:t>
      </w:r>
      <w:r w:rsidRPr="005304ED">
        <w:rPr>
          <w:rFonts w:ascii="Helvetica" w:eastAsia="Times New Roman" w:hAnsi="Helvetica" w:cs="Helvetica" w:hint="cs"/>
          <w:color w:val="4F4C58"/>
          <w:sz w:val="33"/>
          <w:szCs w:val="33"/>
          <w:rtl/>
        </w:rPr>
        <w:t>(</w:t>
      </w:r>
      <w:r w:rsidRPr="005304ED">
        <w:rPr>
          <w:rFonts w:ascii="Helvetica" w:eastAsia="Times New Roman" w:hAnsi="Helvetica" w:cs="Helvetica" w:hint="cs"/>
          <w:color w:val="4F4C58"/>
          <w:sz w:val="33"/>
          <w:szCs w:val="33"/>
          <w:highlight w:val="yellow"/>
          <w:rtl/>
        </w:rPr>
        <w:t>מעבירה בנפרד)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Symbol" w:cs="Helvetica"/>
          <w:color w:val="4F4C58"/>
          <w:sz w:val="33"/>
          <w:szCs w:val="33"/>
        </w:rPr>
        <w:t>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 xml:space="preserve">  </w:t>
      </w:r>
      <w:r>
        <w:rPr>
          <w:rFonts w:ascii="Helvetica" w:eastAsia="Times New Roman" w:hAnsi="Helvetica" w:cs="Helvetica" w:hint="cs"/>
          <w:color w:val="4F4C58"/>
          <w:sz w:val="33"/>
          <w:szCs w:val="33"/>
          <w:rtl/>
        </w:rPr>
        <w:t xml:space="preserve"> 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יש לצרף לשאלון קבלה למועמד את האישורים הבאים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: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צילום תעודת זהות של המועמד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אישור ממוסד הלימודים המאשר: סטטוס הלימוד, מקצוע הלימוד, עלות שכר הלימוד, מספר שעות שבועיות וכן את העובדה כי התלמיד לומד בשנת הלימודים תש"פ במוסד לימודים זה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 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יש לצרף קורות חיים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.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אישור ניהול חשבון בנק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 </w:t>
      </w:r>
    </w:p>
    <w:p w:rsid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את המסמכים יש לשלוח לדוא"ל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>:</w:t>
      </w:r>
    </w:p>
    <w:p w:rsidR="005304ED" w:rsidRPr="005304ED" w:rsidRDefault="005304ED" w:rsidP="005304ED">
      <w:pPr>
        <w:shd w:val="clear" w:color="auto" w:fill="EEF1EB"/>
        <w:spacing w:after="0" w:line="240" w:lineRule="auto"/>
        <w:rPr>
          <w:rFonts w:ascii="Helvetica" w:eastAsia="Times New Roman" w:hAnsi="Helvetica" w:cs="Helvetica"/>
          <w:color w:val="4F4C58"/>
          <w:sz w:val="33"/>
          <w:szCs w:val="33"/>
        </w:rPr>
      </w:pPr>
      <w:bookmarkStart w:id="0" w:name="_GoBack"/>
      <w:bookmarkEnd w:id="0"/>
      <w:r w:rsidRPr="005304ED">
        <w:rPr>
          <w:rFonts w:ascii="Helvetica" w:eastAsia="Times New Roman" w:hAnsi="Helvetica" w:cs="Helvetica"/>
          <w:color w:val="4F4C58"/>
          <w:sz w:val="33"/>
          <w:szCs w:val="33"/>
        </w:rPr>
        <w:t xml:space="preserve"> Noarzy@zamarin.org.il </w:t>
      </w:r>
      <w:r w:rsidRPr="005304ED">
        <w:rPr>
          <w:rFonts w:ascii="Helvetica" w:eastAsia="Times New Roman" w:hAnsi="Helvetica" w:cs="Helvetica"/>
          <w:color w:val="4F4C58"/>
          <w:sz w:val="33"/>
          <w:szCs w:val="33"/>
          <w:rtl/>
        </w:rPr>
        <w:t>עד התאריך 10.09.2020</w:t>
      </w:r>
    </w:p>
    <w:p w:rsidR="00786BB7" w:rsidRPr="005304ED" w:rsidRDefault="00786BB7" w:rsidP="005304ED"/>
    <w:sectPr w:rsidR="00786BB7" w:rsidRPr="005304ED" w:rsidSect="007616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FbHachaluzim-Bold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531E"/>
    <w:multiLevelType w:val="multilevel"/>
    <w:tmpl w:val="F5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96D53"/>
    <w:multiLevelType w:val="multilevel"/>
    <w:tmpl w:val="D57CA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ED"/>
    <w:rsid w:val="005304ED"/>
    <w:rsid w:val="0076168E"/>
    <w:rsid w:val="007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AB37"/>
  <w15:chartTrackingRefBased/>
  <w15:docId w15:val="{72BCF2C5-C64D-4494-8D5F-D500D5E4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4E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530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marin.org.il/SystemFiles/shelonmilg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מיי סולומון</dc:creator>
  <cp:keywords/>
  <dc:description/>
  <cp:lastModifiedBy>מיי סולומון</cp:lastModifiedBy>
  <cp:revision>1</cp:revision>
  <dcterms:created xsi:type="dcterms:W3CDTF">2020-08-17T05:33:00Z</dcterms:created>
  <dcterms:modified xsi:type="dcterms:W3CDTF">2020-08-17T05:35:00Z</dcterms:modified>
</cp:coreProperties>
</file>